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D527" w14:textId="7B4F3E72" w:rsidR="00F26912" w:rsidRPr="00F26912" w:rsidRDefault="009C1F24" w:rsidP="00F26912">
      <w:pPr>
        <w:spacing w:after="0" w:line="240" w:lineRule="auto"/>
        <w:jc w:val="both"/>
        <w:rPr>
          <w:rFonts w:ascii="Georgia" w:hAnsi="Georgia"/>
        </w:rPr>
      </w:pPr>
      <w:r>
        <w:rPr>
          <w:rFonts w:ascii="Georgia" w:hAnsi="Georgia"/>
        </w:rPr>
        <w:t>Articolo settimanale Fondazione Studi del 6 settembre 2024</w:t>
      </w:r>
    </w:p>
    <w:p w14:paraId="692ABD92" w14:textId="77777777" w:rsidR="00F26912" w:rsidRPr="00F26912" w:rsidRDefault="00F26912" w:rsidP="00F26912">
      <w:pPr>
        <w:spacing w:after="0" w:line="240" w:lineRule="auto"/>
        <w:jc w:val="both"/>
        <w:rPr>
          <w:rFonts w:ascii="Georgia" w:hAnsi="Georgia"/>
        </w:rPr>
      </w:pPr>
    </w:p>
    <w:p w14:paraId="4450FFF3" w14:textId="77777777" w:rsidR="00F26912" w:rsidRPr="00F26912" w:rsidRDefault="00F26912" w:rsidP="00F26912">
      <w:pPr>
        <w:spacing w:after="0" w:line="240" w:lineRule="auto"/>
        <w:jc w:val="both"/>
        <w:rPr>
          <w:rFonts w:ascii="Georgia" w:hAnsi="Georgia"/>
          <w:b/>
          <w:bCs/>
        </w:rPr>
      </w:pPr>
      <w:r w:rsidRPr="00F26912">
        <w:rPr>
          <w:rFonts w:ascii="Georgia" w:hAnsi="Georgia"/>
          <w:b/>
          <w:bCs/>
        </w:rPr>
        <w:t xml:space="preserve">È boom di occupati under 25 </w:t>
      </w:r>
    </w:p>
    <w:p w14:paraId="586C9879" w14:textId="77777777" w:rsidR="00F26912" w:rsidRDefault="00F26912" w:rsidP="00F26912">
      <w:pPr>
        <w:spacing w:after="0" w:line="240" w:lineRule="auto"/>
        <w:jc w:val="both"/>
        <w:rPr>
          <w:rFonts w:ascii="Georgia" w:hAnsi="Georgia"/>
        </w:rPr>
      </w:pPr>
    </w:p>
    <w:p w14:paraId="0F8EB1C5" w14:textId="77777777" w:rsidR="00F26912" w:rsidRPr="00F26912" w:rsidRDefault="00F26912" w:rsidP="00F26912">
      <w:pPr>
        <w:spacing w:after="0" w:line="240" w:lineRule="auto"/>
        <w:jc w:val="both"/>
        <w:rPr>
          <w:rFonts w:ascii="Georgia" w:hAnsi="Georgia"/>
        </w:rPr>
      </w:pPr>
    </w:p>
    <w:p w14:paraId="7D0F99E3" w14:textId="77777777" w:rsidR="00F26912" w:rsidRPr="00F26912" w:rsidRDefault="00F26912" w:rsidP="00F26912">
      <w:pPr>
        <w:spacing w:after="0" w:line="240" w:lineRule="auto"/>
        <w:jc w:val="both"/>
        <w:rPr>
          <w:rFonts w:ascii="Georgia" w:hAnsi="Georgia"/>
        </w:rPr>
      </w:pPr>
    </w:p>
    <w:p w14:paraId="7FEBB102" w14:textId="018BB051" w:rsidR="00A25033" w:rsidRPr="00F26912" w:rsidRDefault="00F26912" w:rsidP="00F26912">
      <w:pPr>
        <w:spacing w:after="0" w:line="240" w:lineRule="auto"/>
        <w:jc w:val="both"/>
        <w:rPr>
          <w:rFonts w:ascii="Georgia" w:hAnsi="Georgia"/>
        </w:rPr>
      </w:pPr>
      <w:r w:rsidRPr="00F26912">
        <w:rPr>
          <w:rFonts w:ascii="Georgia" w:hAnsi="Georgia"/>
        </w:rPr>
        <w:t xml:space="preserve">È boom di occupati under 25, anche se in Italia la partecipazione dei giovani al lavoro ha ancora margini di miglioramento rispetto all’Europa. Tra il 2021 e il 2023, su 1 milione 26mila posti di lavoro in più, circa 439mila hanno riguardato giovani con meno di 35 anni. L’occupazione giovanile ha registrato un tasso di crescita dell’8,9%, doppio rispetto a quello generale del 4,5%. E a registrare la crescita più forte in termini percentuali sono stati gli under 25, con un saldo di 169mila occupati in più e un tasso di crescita del 16,7%. Resta, tuttavia, emergenziale la questione giovanile nel nostro Paese, posizionato in fondo alla graduatoria europea per livello di partecipazione alle dinamiche lavorative. Nella fascia d’età più bassa (20-24 anni), a fronte di un tasso di occupazione medio europeo del 54,2%, quello italiano si attesta al 36%. Sono alcuni dei risultati che emergono dalla nota della Fondazione Studi Consulenti del Lavoro “Cresce l’occupazione giovanile. Si riduce il gap con l’Europa”, su dati Istat, e che mette in evidenza come a interrompere il trend di forte contrazione dell’occupazione giovanile avviatosi negli anni 2000, abbiano contribuito le esigenze di innovazione delle competenze di molte aziende. Ma anche la scarsità di offerta di lavoro che insieme al turn over in atto in molti comparti (pubblica amministrazione in primis) sta orientando nuovamente la domanda verso i giovani. A crescere tra 2021 e 2023 è anche la componente permanente: a fronte di 415mila nuovi occupati 373 sono a tempo indeterminato. Ma è guardando i profili professionali che si evidenzia un miglioramento della collocazione giovanile nella piramide professionale. In aumento, infatti, i giovani occupati nelle professioni altamente qualificate: crescono di 113mila unità i profili intellettuali e scientifici (+10,9%) e di 125mila quelli tecnici intermedi (+9,4%). È il turismo a trainare la crescita dell’occupazione giovanile che, con 140mila occupati in più nei servizi di alloggio e ristorazione, ha registrato un incremento del 23,7%. A seguire, i settori della salute e assistenza (+10,1%) e dell’informazione e comunicazione (+20,3%). Da evidenziare anche le buone prestazioni delle attività artistiche, sportive e di divertimento che, con un saldo di 37mila occupati in più, hanno registrato un incremento del 32,1%. A fronte di queste positive dinamiche, non va trascurato come la questione giovanile nel nostro Paese resti un’emergenza. </w:t>
      </w:r>
    </w:p>
    <w:sectPr w:rsidR="00A25033" w:rsidRPr="00F269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33"/>
    <w:rsid w:val="00436904"/>
    <w:rsid w:val="009C1F24"/>
    <w:rsid w:val="00A25033"/>
    <w:rsid w:val="00B0035F"/>
    <w:rsid w:val="00F26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02C1"/>
  <w15:chartTrackingRefBased/>
  <w15:docId w15:val="{5D91ABB0-E7C6-4BC2-BDB8-23457465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4</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2024-09-06T10:17:00Z</dcterms:created>
  <dcterms:modified xsi:type="dcterms:W3CDTF">2024-09-06T10:17:00Z</dcterms:modified>
</cp:coreProperties>
</file>